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关键节点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要求</w:t>
      </w:r>
    </w:p>
    <w:bookmarkEnd w:id="0"/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</w:p>
    <w:p>
      <w:pPr>
        <w:spacing w:line="24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0"/>
          <w:szCs w:val="30"/>
        </w:rPr>
        <w:t>各课题承担单位认真阅读《中国物业管理协会课题研究管理办法》，严格按照规定时间要求，完成各阶段工作：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1.《中国物业管理协会20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年度物业管理课题研究计划》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10个工作日内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召开年度立项课题工作会，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年度课题提交《中国物业管理协会课题研究承诺书》，重点课题提交《中国物业管理协会课题研究合同书》；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5月底前各课题组召开课题开题会，重点课题开题会经与中国物协沟通后召开，年度课题开题会自行召开，会后5个工作日内提交课题研究开题提纲初稿（电子版）；</w:t>
      </w:r>
    </w:p>
    <w:p>
      <w:pPr>
        <w:spacing w:line="24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3.8月底前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各课题组自行</w:t>
      </w:r>
      <w:r>
        <w:rPr>
          <w:rFonts w:hint="eastAsia" w:ascii="仿宋_GB2312" w:hAnsi="仿宋_GB2312" w:eastAsia="仿宋_GB2312" w:cs="仿宋_GB2312"/>
          <w:sz w:val="30"/>
          <w:szCs w:val="30"/>
        </w:rPr>
        <w:t>召开中期汇报会，提交《中国物业管理协会研究课题中期进展报告》和课题报告初稿（电子版）；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0"/>
          <w:szCs w:val="30"/>
        </w:rPr>
        <w:t>前，按照中国物协下发的《关于开展年度物业管理课题研究结题工作的通知》要求提交结题资料。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上述相关文件资料请登录中国物协网站（www.ecpmi.org.cn）发展研究板块中心资料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中国物业管理协会课题研究管理办法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中下载。</w:t>
      </w:r>
    </w:p>
    <w:p/>
    <w:sectPr>
      <w:pgSz w:w="11906" w:h="16838"/>
      <w:pgMar w:top="1417" w:right="1701" w:bottom="1417" w:left="1701" w:header="851" w:footer="992" w:gutter="0"/>
      <w:pgNumType w:fmt="decimal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0273E"/>
    <w:rsid w:val="38A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2020-03-09T04:06:00Z</dcterms:created>
  <dc:creator>段文婧</dc:creator>
  <cp:lastModifiedBy>段文婧</cp:lastModifiedBy>
  <dcterms:modified xsi:type="dcterms:W3CDTF">2020-03-09T04:06:59Z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